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Bachillerato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A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Averigua cuál es el dominio de definición de las siguientes funciones: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96px; height:3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 w:line="240" w:lineRule="auto"/>
      </w:pPr>
      <w:r>
        <w:pict>
          <v:shape type="#_x0000_t75" style="width:11px; height:1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 w:line="240" w:lineRule="auto"/>
      </w:pPr>
      <w:r>
        <w:pict>
          <v:shape type="#_x0000_t75" style="width:92px; height:2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83px; height:68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69px; height:23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Observando su gráfica, indica cuál es el dominio de definición de estas funciones y su recorrido: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tbl>
      <w:tblGrid>
        <w:gridCol w:w="2760" w:type="dxa"/>
        <w:gridCol w:w="2490" w:type="dxa"/>
      </w:tblGrid>
      <w:tblPr>
        <w:jc w:val="center"/>
        <w:tblW w:w="5000" w:type="pct"/>
      </w:tblPr>
      <w:tr>
        <w:trPr/>
        <w:tc>
          <w:tcPr>
            <w:tcW w:w="2760" w:type="dxa"/>
          </w:tcPr>
          <w:p>
            <w:pPr>
              <w:spacing w:after="100"/>
            </w:pPr>
            <w:r>
              <w:rPr>
                <w:b/>
              </w:rPr>
              <w:t xml:space="preserve">a)</w:t>
            </w:r>
          </w:p>
        </w:tc>
        <w:tc>
          <w:tcPr>
            <w:tcW w:w="2490" w:type="dxa"/>
          </w:tcPr>
          <w:p>
            <w:pPr>
              <w:spacing w:after="100"/>
            </w:pPr>
            <w:r>
              <w:rPr>
                <w:b/>
              </w:rPr>
              <w:t xml:space="preserve">b)</w:t>
            </w:r>
          </w:p>
        </w:tc>
      </w:tr>
      <w:tr>
        <w:trPr/>
        <w:tc>
          <w:tcPr>
            <w:tcW w:w="2760" w:type="dxa"/>
          </w:tcPr>
          <w:p>
            <w:pPr>
              <w:spacing w:after="100"/>
            </w:pPr>
            <w:r>
              <w:pict>
                <v:shape type="#_x0000_t75" style="width:124px; height:125px; margin-left:0px; margin-top:0px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tcW w:w="2490" w:type="dxa"/>
          </w:tcPr>
          <w:p>
            <w:pPr>
              <w:spacing w:after="100"/>
            </w:pPr>
            <w:r>
              <w:pict>
                <v:shape type="#_x0000_t75" style="width:158px; height:125px; margin-left:0px; margin-top:0px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</w:tr>
    </w:tbl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a) Dominio </w:t>
      </w:r>
      <w:r>
        <w:rPr/>
        <w:t xml:space="preserve">=</w:t>
      </w:r>
      <w:r>
        <w:rPr/>
        <w:t xml:space="preserve"> </w:t>
      </w:r>
      <w:r>
        <w:rPr/>
        <w:t xml:space="preserve">R</w:t>
      </w:r>
      <w:r>
        <w:rPr/>
        <w:t xml:space="preserve"> </w:t>
      </w:r>
      <w:r>
        <w:rPr/>
        <w:t xml:space="preserve">−</w:t>
      </w:r>
      <w:r>
        <w:rPr/>
        <w:t xml:space="preserve"> {‒2}; Recorrido </w:t>
      </w:r>
      <w:r>
        <w:rPr/>
        <w:t xml:space="preserve">=</w:t>
      </w:r>
      <w:r>
        <w:rPr/>
        <w:t xml:space="preserve"> </w:t>
      </w:r>
      <w:r>
        <w:rPr/>
        <w:t xml:space="preserve">R</w:t>
      </w:r>
      <w:r>
        <w:rPr/>
        <w:t xml:space="preserve"> </w:t>
      </w:r>
      <w:r>
        <w:rPr/>
        <w:t xml:space="preserve">−</w:t>
      </w:r>
      <w:r>
        <w:rPr/>
        <w:t xml:space="preserve"> {1}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b) Dominio </w:t>
      </w:r>
      <w:r>
        <w:rPr/>
        <w:t xml:space="preserve">=</w:t>
      </w:r>
      <w:r>
        <w:rPr/>
        <w:t xml:space="preserve"> (‒</w:t>
      </w:r>
      <w:r>
        <w:rPr/>
        <w:t xml:space="preserve">∞</w:t>
      </w:r>
      <w:r>
        <w:rPr/>
        <w:t xml:space="preserve">, 3]; Recorrido </w:t>
      </w:r>
      <w:r>
        <w:rPr/>
        <w:t xml:space="preserve">=</w:t>
      </w:r>
      <w:r>
        <w:rPr/>
        <w:t xml:space="preserve"> [0, </w:t>
      </w:r>
      <w:r>
        <w:rPr/>
        <w:t xml:space="preserve">+∞</w:t>
      </w:r>
      <w:r>
        <w:rPr/>
        <w:t xml:space="preserve">)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Representa gráficamente la siguiente función: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center"/>
        <w:spacing w:after="100" w:line="240" w:lineRule="auto"/>
      </w:pPr>
      <w:r>
        <w:pict>
          <v:shape type="#_x0000_t75" style="width:160px; height:44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Si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≤</w:t>
      </w:r>
      <w:r>
        <w:rPr/>
        <w:t xml:space="preserve"> 2, tenemos un trozo de parábola.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Si </w:t>
      </w:r>
      <w:r>
        <w:rPr>
          <w:i/>
          <w:iCs/>
        </w:rPr>
        <w:t xml:space="preserve">x</w:t>
      </w:r>
      <w:r>
        <w:rPr/>
        <w:t xml:space="preserve"> &lt; 2, es un trozo de recta horizontal.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La gráfica 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24px; height:125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Sabiendo que la gráfica de </w:t>
      </w:r>
      <w:r>
        <w:rPr>
          <w:b/>
          <w:i/>
          <w:iCs/>
        </w:rPr>
        <w:t xml:space="preserve">y</w:t>
      </w:r>
      <w:r>
        <w:rPr>
          <w:b/>
        </w:rPr>
        <w:t xml:space="preserve"> </w:t>
      </w:r>
      <w:r>
        <w:rPr>
          <w:b/>
        </w:rPr>
        <w:t xml:space="preserve">=</w:t>
      </w:r>
      <w:r>
        <w:rPr>
          <w:b/>
        </w:rPr>
        <w:t xml:space="preserve"> </w:t>
      </w:r>
      <w:r>
        <w:rPr>
          <w:b/>
          <w:i/>
          <w:iCs/>
        </w:rPr>
        <w:t xml:space="preserve">f</w:t>
      </w:r>
      <w:r>
        <w:rPr>
          <w:b/>
        </w:rPr>
        <w:t xml:space="preserve">(</w:t>
      </w:r>
      <w:r>
        <w:rPr>
          <w:b/>
          <w:i/>
          <w:iCs/>
        </w:rPr>
        <w:t xml:space="preserve">x</w:t>
      </w:r>
      <w:r>
        <w:rPr>
          <w:b/>
        </w:rPr>
        <w:t xml:space="preserve">) es la de la izquierda, representa la gráfica de 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y </w:t>
      </w:r>
      <w:r>
        <w:rPr>
          <w:b/>
        </w:rPr>
        <w:t xml:space="preserve">=</w:t>
      </w:r>
      <w:r>
        <w:rPr>
          <w:b/>
        </w:rPr>
        <w:t xml:space="preserve"> |f(x)|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tbl>
      <w:tblGrid>
        <w:gridCol w:w="3645" w:type="dxa"/>
        <w:gridCol w:w="3645" w:type="dxa"/>
      </w:tblGrid>
      <w:tblPr>
        <w:jc w:val="center"/>
        <w:tblW w:w="5000" w:type="pct"/>
      </w:tblPr>
      <w:tr>
        <w:trPr/>
        <w:tc>
          <w:tcPr>
            <w:tcW w:w="3645" w:type="dxa"/>
          </w:tcPr>
          <w:p>
            <w:pPr>
              <w:spacing w:after="100"/>
            </w:pPr>
            <w:r>
              <w:pict>
                <v:shape type="#_x0000_t75" style="width:243px; height:245px; margin-left:0px; margin-top:0px; mso-position-horizontal:left; mso-position-vertical:top; mso-position-horizontal-relative:char; mso-position-vertical-relative:line;">
                  <w10:wrap type="inline"/>
                  <v:imagedata r:id="rId16" o:title=""/>
                </v:shape>
              </w:pict>
            </w:r>
          </w:p>
        </w:tc>
        <w:tc>
          <w:tcPr>
            <w:tcW w:w="3645" w:type="dxa"/>
          </w:tcPr>
          <w:p>
            <w:pPr>
              <w:spacing w:after="100"/>
            </w:pPr>
            <w:r>
              <w:pict>
                <v:shape type="#_x0000_t75" style="width:243px; height:245px; margin-left:0px; margin-top:0px; mso-position-horizontal:left; mso-position-vertical:top; mso-position-horizontal-relative:char; mso-position-vertical-relative:line;">
                  <w10:wrap type="inline"/>
                  <v:imagedata r:id="rId17" o:title=""/>
                </v:shape>
              </w:pict>
            </w:r>
          </w:p>
        </w:tc>
      </w:tr>
    </w:tbl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43px; height:245px; margin-left:0px; margin-top:0px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83px; height:36px; margin-left:0px; margin-top:0px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80px; height:23px; margin-left:0px; margin-top:0px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83px; height:23px; margin-left:0px; margin-top:0px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40px; height:41px; margin-left:0px; margin-top:0px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71px; height:28px; margin-left:0px; margin-top:0px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6.-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Halla la función inversa de: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center"/>
        <w:spacing w:after="100" w:line="240" w:lineRule="auto"/>
      </w:pPr>
      <w:r>
        <w:pict>
          <v:shape type="#_x0000_t75" style="width:87px; height:36px; margin-left:0px; margin-top:0px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Cambiamos </w:t>
      </w:r>
      <w:r>
        <w:rPr>
          <w:i/>
          <w:iCs/>
        </w:rPr>
        <w:t xml:space="preserve">x</w:t>
      </w:r>
      <w:r>
        <w:rPr/>
        <w:t xml:space="preserve"> por </w:t>
      </w:r>
      <w:r>
        <w:rPr>
          <w:i/>
          <w:iCs/>
        </w:rPr>
        <w:t xml:space="preserve">y</w:t>
      </w:r>
      <w:r>
        <w:rPr/>
        <w:t xml:space="preserve">, y despejamos la </w:t>
      </w:r>
      <w:r>
        <w:rPr>
          <w:i/>
          <w:iCs/>
        </w:rPr>
        <w:t xml:space="preserve">y</w:t>
      </w:r>
      <w:r>
        <w:rPr/>
        <w:t xml:space="preserve">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center"/>
        <w:spacing w:after="100" w:line="240" w:lineRule="auto"/>
      </w:pPr>
      <w:r>
        <w:pict>
          <v:shape type="#_x0000_t75" style="width:336px; height:36px; margin-left:0px; margin-top:0px; mso-position-horizontal:left; mso-position-vertical:top; mso-position-horizontal-relative:char; mso-position-vertical-relative:line;">
            <w10:wrap type="inline"/>
            <v:imagedata r:id="rId2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Por tanto: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center"/>
        <w:spacing w:after="100" w:line="240" w:lineRule="auto"/>
      </w:pPr>
      <w:r>
        <w:pict>
          <v:shape type="#_x0000_t75" style="width:89px; height:36px; margin-left:0px; margin-top:0px; mso-position-horizontal:left; mso-position-vertical:top; mso-position-horizontal-relative:char; mso-position-vertical-relative:line;">
            <w10:wrap type="inline"/>
            <v:imagedata r:id="rId2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7.-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Halla el dominio de definición de las siguientes funciones: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23px; height:41px; margin-left:0px; margin-top:0px; mso-position-horizontal:left; mso-position-vertical:top; mso-position-horizontal-relative:char; mso-position-vertical-relative:line;">
            <w10:wrap type="inline"/>
            <v:imagedata r:id="rId2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05px; height:41px; margin-left:0px; margin-top:0px; mso-position-horizontal:left; mso-position-vertical:top; mso-position-horizontal-relative:char; mso-position-vertical-relative:line;">
            <w10:wrap type="inline"/>
            <v:imagedata r:id="rId2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03px; height:37px; margin-left:0px; margin-top:0px; mso-position-horizontal:left; mso-position-vertical:top; mso-position-horizontal-relative:char; mso-position-vertical-relative:line;">
            <w10:wrap type="inline"/>
            <v:imagedata r:id="rId2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25px; height:37px; margin-left:0px; margin-top:0px; mso-position-horizontal:left; mso-position-vertical:top; mso-position-horizontal-relative:char; mso-position-vertical-relative:line;">
            <w10:wrap type="inline"/>
            <v:imagedata r:id="rId3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Para que un cociente sea positivo, numerador y denominador han de tener el mismo signo.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2</w:t>
      </w:r>
      <w:r>
        <w:rPr>
          <w:i/>
          <w:iCs/>
        </w:rPr>
        <w:t xml:space="preserve">x</w:t>
      </w:r>
      <w:r>
        <w:rPr>
          <w:vertAlign w:val="superscript"/>
        </w:rPr>
        <w:t xml:space="preserve">2</w:t>
      </w:r>
      <w:r>
        <w:rPr/>
        <w:t xml:space="preserve">+</w:t>
      </w:r>
      <w:r>
        <w:rPr/>
        <w:t xml:space="preserve"> 3 &gt; 0 siempre, por tanto, en este caso debe cumplirse </w:t>
      </w:r>
      <w:r>
        <w:rPr>
          <w:i/>
          <w:iCs/>
        </w:rPr>
        <w:t xml:space="preserve">x</w:t>
      </w:r>
      <w:r>
        <w:rPr>
          <w:vertAlign w:val="superscript"/>
        </w:rPr>
        <w:t xml:space="preserve">2</w:t>
      </w:r>
      <w:r>
        <w:rPr/>
        <w:t xml:space="preserve">−</w:t>
      </w:r>
      <w:r>
        <w:rPr/>
        <w:t xml:space="preserve"> 2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≥</w:t>
      </w:r>
      <w:r>
        <w:rPr/>
        <w:t xml:space="preserve"> 0.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Como </w:t>
      </w:r>
      <w:r>
        <w:rPr>
          <w:i/>
          <w:iCs/>
        </w:rPr>
        <w:t xml:space="preserve">x</w:t>
      </w:r>
      <w:r>
        <w:rPr>
          <w:vertAlign w:val="superscript"/>
        </w:rPr>
        <w:t xml:space="preserve">2</w:t>
      </w:r>
      <w:r>
        <w:rPr/>
        <w:t xml:space="preserve">−</w:t>
      </w:r>
      <w:r>
        <w:rPr/>
        <w:t xml:space="preserve"> 2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0 en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0 y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2, estudiamos el signo de </w:t>
      </w:r>
      <w:r>
        <w:rPr>
          <w:i/>
          <w:iCs/>
        </w:rPr>
        <w:t xml:space="preserve">x</w:t>
      </w:r>
      <w:r>
        <w:rPr>
          <w:vertAlign w:val="superscript"/>
        </w:rPr>
        <w:t xml:space="preserve">2</w:t>
      </w:r>
      <w:r>
        <w:rPr/>
        <w:t xml:space="preserve">−</w:t>
      </w:r>
      <w:r>
        <w:rPr/>
        <w:t xml:space="preserve"> 2</w:t>
      </w:r>
      <w:r>
        <w:rPr>
          <w:i/>
          <w:iCs/>
        </w:rPr>
        <w:t xml:space="preserve">x</w:t>
      </w:r>
      <w:r>
        <w:rPr/>
        <w:t xml:space="preserve"> en los siguientes intervalos: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(−∞, 0) </w:t>
      </w:r>
      <w:r>
        <w:rPr/>
        <w:t xml:space="preserve">→</w:t>
      </w:r>
      <w:r>
        <w:rPr/>
        <w:t xml:space="preserve"> </w:t>
      </w:r>
      <w:r>
        <w:rPr/>
        <w:t xml:space="preserve">(−</w:t>
      </w:r>
      <w:r>
        <w:rPr/>
        <w:t xml:space="preserve">1)</w:t>
      </w:r>
      <w:r>
        <w:rPr>
          <w:vertAlign w:val="superscript"/>
        </w:rPr>
        <w:t xml:space="preserve">2</w:t>
      </w:r>
      <w:r>
        <w:rPr/>
        <w:t xml:space="preserve">−</w:t>
      </w:r>
      <w:r>
        <w:rPr/>
        <w:t xml:space="preserve"> 2 · </w:t>
      </w:r>
      <w:r>
        <w:rPr/>
        <w:t xml:space="preserve">(−</w:t>
      </w:r>
      <w:r>
        <w:rPr/>
        <w:t xml:space="preserve">1) </w:t>
      </w:r>
      <w:r>
        <w:rPr/>
        <w:t xml:space="preserve">=</w:t>
      </w:r>
      <w:r>
        <w:rPr/>
        <w:t xml:space="preserve"> 3 &gt; 0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(0, 2) </w:t>
      </w:r>
      <w:r>
        <w:rPr/>
        <w:t xml:space="preserve">→</w:t>
      </w:r>
      <w:r>
        <w:rPr/>
        <w:t xml:space="preserve"> 1</w:t>
      </w:r>
      <w:r>
        <w:rPr>
          <w:vertAlign w:val="superscript"/>
        </w:rPr>
        <w:t xml:space="preserve">2</w:t>
      </w:r>
      <w:r>
        <w:rPr/>
        <w:t xml:space="preserve">−</w:t>
      </w:r>
      <w:r>
        <w:rPr/>
        <w:t xml:space="preserve"> 2 · 1 </w:t>
      </w:r>
      <w:r>
        <w:rPr/>
        <w:t xml:space="preserve">=</w:t>
      </w:r>
      <w:r>
        <w:rPr/>
        <w:t xml:space="preserve"> </w:t>
      </w:r>
      <w:r>
        <w:rPr/>
        <w:t xml:space="preserve">−</w:t>
      </w:r>
      <w:r>
        <w:rPr/>
        <w:t xml:space="preserve">1 &lt; 0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(2, </w:t>
      </w:r>
      <w:r>
        <w:rPr/>
        <w:t xml:space="preserve">+∞</w:t>
      </w:r>
      <w:r>
        <w:rPr/>
        <w:t xml:space="preserve">) </w:t>
      </w:r>
      <w:r>
        <w:rPr/>
        <w:t xml:space="preserve">→</w:t>
      </w:r>
      <w:r>
        <w:rPr/>
        <w:t xml:space="preserve"> 3</w:t>
      </w:r>
      <w:r>
        <w:rPr>
          <w:vertAlign w:val="superscript"/>
        </w:rPr>
        <w:t xml:space="preserve">2</w:t>
      </w:r>
      <w:r>
        <w:rPr/>
        <w:t xml:space="preserve">−</w:t>
      </w:r>
      <w:r>
        <w:rPr/>
        <w:t xml:space="preserve"> 2 · 3 </w:t>
      </w:r>
      <w:r>
        <w:rPr/>
        <w:t xml:space="preserve">=</w:t>
      </w:r>
      <w:r>
        <w:rPr/>
        <w:t xml:space="preserve"> 3 &gt; 0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Por tanto, </w:t>
      </w:r>
      <w:r>
        <w:rPr>
          <w:i/>
          <w:iCs/>
        </w:rPr>
        <w:t xml:space="preserve">x</w:t>
      </w:r>
      <w:r>
        <w:rPr>
          <w:vertAlign w:val="superscript"/>
        </w:rPr>
        <w:t xml:space="preserve">2</w:t>
      </w:r>
      <w:r>
        <w:rPr/>
        <w:t xml:space="preserve">−</w:t>
      </w:r>
      <w:r>
        <w:rPr/>
        <w:t xml:space="preserve"> 2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≥</w:t>
      </w:r>
      <w:r>
        <w:rPr/>
        <w:t xml:space="preserve"> 0 en </w:t>
      </w:r>
      <w:r>
        <w:rPr/>
        <w:t xml:space="preserve">(−∞</w:t>
      </w:r>
      <w:r>
        <w:rPr/>
        <w:t xml:space="preserve">, 0] </w:t>
      </w:r>
      <w:r>
        <w:rPr/>
        <w:t xml:space="preserve">∪</w:t>
      </w:r>
      <w:r>
        <w:rPr/>
        <w:t xml:space="preserve"> [2, </w:t>
      </w:r>
      <w:r>
        <w:rPr/>
        <w:t xml:space="preserve">+∞</w:t>
      </w:r>
      <w:r>
        <w:rPr/>
        <w:t xml:space="preserve">) </w:t>
      </w:r>
      <w:r>
        <w:rPr/>
        <w:t xml:space="preserve">→</w:t>
      </w:r>
      <w:r>
        <w:rPr/>
        <w:t xml:space="preserve"> </w:t>
      </w:r>
      <w:r>
        <w:rPr>
          <w:i/>
          <w:iCs/>
        </w:rPr>
        <w:t xml:space="preserve">Dom f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/>
        <w:t xml:space="preserve">(−∞</w:t>
      </w:r>
      <w:r>
        <w:rPr/>
        <w:t xml:space="preserve">, 0] </w:t>
      </w:r>
      <w:r>
        <w:rPr/>
        <w:t xml:space="preserve">∪</w:t>
      </w:r>
      <w:r>
        <w:rPr/>
        <w:t xml:space="preserve"> [2, </w:t>
      </w:r>
      <w:r>
        <w:rPr/>
        <w:t xml:space="preserve">+∞</w:t>
      </w:r>
      <w:r>
        <w:rPr/>
        <w:t xml:space="preserve">)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b) Resolvemos la inecuación</w:t>
      </w:r>
      <w:r>
        <w:rPr/>
        <w:t xml:space="preserve">:</w:t>
      </w:r>
      <w:r>
        <w:rPr/>
        <w:t xml:space="preserve"> </w:t>
      </w:r>
      <w:r>
        <w:rPr/>
        <w:t xml:space="preserve">−</w:t>
      </w:r>
      <w:r>
        <w:rPr>
          <w:i/>
          <w:iCs/>
        </w:rPr>
        <w:t xml:space="preserve">x</w:t>
      </w:r>
      <w:r>
        <w:rPr>
          <w:vertAlign w:val="superscript"/>
        </w:rPr>
        <w:t xml:space="preserve">2</w:t>
      </w:r>
      <w:r>
        <w:rPr/>
        <w:t xml:space="preserve">+</w:t>
      </w:r>
      <w:r>
        <w:rPr/>
        <w:t xml:space="preserve"> 6</w:t>
      </w:r>
      <w:r>
        <w:rPr>
          <w:i/>
          <w:iCs/>
        </w:rPr>
        <w:t xml:space="preserve">x – </w:t>
      </w:r>
      <w:r>
        <w:rPr/>
        <w:t xml:space="preserve">8 &gt; 0. Su solución es el intervalo </w:t>
      </w:r>
      <w:r>
        <w:rPr/>
        <w:t xml:space="preserve">(</w:t>
      </w:r>
      <w:r>
        <w:rPr/>
        <w:t xml:space="preserve">2, 4)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Resolvemos la ecuación</w:t>
      </w:r>
      <w:r>
        <w:rPr/>
        <w:t xml:space="preserve">:</w:t>
      </w:r>
      <w:r>
        <w:rPr/>
        <w:t xml:space="preserve"> </w:t>
      </w:r>
      <w:r>
        <w:rPr/>
        <w:t xml:space="preserve">:</w:t>
      </w:r>
      <w:r>
        <w:rPr/>
        <w:t xml:space="preserve"> </w:t>
      </w:r>
      <w:r>
        <w:rPr>
          <w:i/>
          <w:iCs/>
        </w:rPr>
        <w:t xml:space="preserve">x</w:t>
      </w:r>
      <w:r>
        <w:rPr/>
        <w:t xml:space="preserve"> – 5 </w:t>
      </w:r>
      <w:r>
        <w:rPr/>
        <w:t xml:space="preserve">=</w:t>
      </w:r>
      <w:r>
        <w:rPr/>
        <w:t xml:space="preserve"> 0 </w:t>
      </w:r>
      <w:r>
        <w:rPr/>
        <w:t xml:space="preserve">→</w:t>
      </w:r>
      <w:r>
        <w:rPr/>
        <w:t xml:space="preserve">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5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Para que </w:t>
      </w:r>
      <w:r>
        <w:rPr>
          <w:i/>
          <w:iCs/>
        </w:rPr>
        <w:t xml:space="preserve">log </w:t>
      </w:r>
      <w:r>
        <w:rPr/>
        <w:t xml:space="preserve">(−</w:t>
      </w:r>
      <w:r>
        <w:rPr>
          <w:i/>
          <w:iCs/>
        </w:rPr>
        <w:t xml:space="preserve">x</w:t>
      </w:r>
      <w:r>
        <w:rPr>
          <w:vertAlign w:val="superscript"/>
        </w:rPr>
        <w:t xml:space="preserve">2</w:t>
      </w:r>
      <w:r>
        <w:rPr/>
        <w:t xml:space="preserve">+</w:t>
      </w:r>
      <w:r>
        <w:rPr/>
        <w:t xml:space="preserve"> 6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−</w:t>
      </w:r>
      <w:r>
        <w:rPr/>
        <w:t xml:space="preserve">8) esté definido</w:t>
      </w:r>
      <w:r>
        <w:rPr/>
        <w:t xml:space="preserve">:</w:t>
      </w:r>
      <w:r>
        <w:rPr/>
        <w:t xml:space="preserve">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∈</w:t>
      </w:r>
      <w:r>
        <w:rPr/>
        <w:t xml:space="preserve"> </w:t>
      </w:r>
      <w:r>
        <w:rPr/>
        <w:t xml:space="preserve">(</w:t>
      </w:r>
      <w:r>
        <w:rPr/>
        <w:t xml:space="preserve">2, 4)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Para que el denominador no se anule</w:t>
      </w:r>
      <w:r>
        <w:rPr/>
        <w:t xml:space="preserve">:</w:t>
      </w:r>
      <w:r>
        <w:rPr/>
        <w:t xml:space="preserve">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≠</w:t>
      </w:r>
      <w:r>
        <w:rPr/>
        <w:t xml:space="preserve"> 5, pero 5 </w:t>
      </w:r>
      <w:r>
        <w:rPr/>
        <w:t xml:space="preserve">∉</w:t>
      </w:r>
      <w:r>
        <w:rPr/>
        <w:t xml:space="preserve"> </w:t>
      </w:r>
      <w:r>
        <w:rPr/>
        <w:t xml:space="preserve">(</w:t>
      </w:r>
      <w:r>
        <w:rPr/>
        <w:t xml:space="preserve">2, 4)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Por tanto, </w:t>
      </w:r>
      <w:r>
        <w:rPr>
          <w:i/>
          <w:iCs/>
        </w:rPr>
        <w:t xml:space="preserve">Dom g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/>
        <w:t xml:space="preserve">(</w:t>
      </w:r>
      <w:r>
        <w:rPr/>
        <w:t xml:space="preserve">2, 4)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c) Como </w:t>
      </w:r>
      <w:r>
        <w:rPr>
          <w:i/>
          <w:iCs/>
        </w:rPr>
        <w:t xml:space="preserve">cos x</w:t>
      </w:r>
      <w:r>
        <w:rPr/>
        <w:t xml:space="preserve"> está definido en </w:t>
      </w:r>
      <w:r>
        <w:rPr/>
        <w:t xml:space="preserve">ℝ</w:t>
      </w:r>
      <w:r>
        <w:rPr/>
        <w:t xml:space="preserve"> y </w:t>
      </w:r>
      <w:r>
        <w:rPr>
          <w:i/>
          <w:iCs/>
        </w:rPr>
        <w:t xml:space="preserve">x</w:t>
      </w:r>
      <w:r>
        <w:rPr>
          <w:vertAlign w:val="superscript"/>
        </w:rPr>
        <w:t xml:space="preserve">2</w:t>
      </w:r>
      <w:r>
        <w:rPr/>
        <w:t xml:space="preserve">+</w:t>
      </w:r>
      <w:r>
        <w:rPr/>
        <w:t xml:space="preserve"> 1 </w:t>
      </w:r>
      <w:r>
        <w:rPr/>
        <w:t xml:space="preserve">≠</w:t>
      </w:r>
      <w:r>
        <w:rPr/>
        <w:t xml:space="preserve"> 0 para cualquier </w:t>
      </w:r>
      <w:r>
        <w:rPr>
          <w:i/>
          <w:iCs/>
        </w:rPr>
        <w:t xml:space="preserve">x </w:t>
      </w:r>
      <w:r>
        <w:rPr/>
        <w:t xml:space="preserve">∈</w:t>
      </w:r>
      <w:r>
        <w:rPr/>
        <w:t xml:space="preserve"> </w:t>
      </w:r>
      <w:r>
        <w:rPr/>
        <w:t xml:space="preserve">ℝ</w:t>
      </w:r>
      <w:r>
        <w:rPr/>
        <w:t xml:space="preserve">, tenemos que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i/>
          <w:iCs/>
        </w:rPr>
        <w:t xml:space="preserve">Dom h</w:t>
      </w:r>
      <w:r>
        <w:rPr/>
        <w:t xml:space="preserve">=</w:t>
      </w:r>
      <w:r>
        <w:rPr/>
        <w:t xml:space="preserve">ℝ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97CCBE9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png"/><Relationship Id="rId14" Type="http://schemas.openxmlformats.org/officeDocument/2006/relationships/image" Target="media/section_image8.png"/><Relationship Id="rId15" Type="http://schemas.openxmlformats.org/officeDocument/2006/relationships/image" Target="media/section_image9.png"/><Relationship Id="rId16" Type="http://schemas.openxmlformats.org/officeDocument/2006/relationships/image" Target="media/section_image10.png"/><Relationship Id="rId17" Type="http://schemas.openxmlformats.org/officeDocument/2006/relationships/image" Target="media/section_image11.png"/><Relationship Id="rId18" Type="http://schemas.openxmlformats.org/officeDocument/2006/relationships/image" Target="media/section_image12.png"/><Relationship Id="rId19" Type="http://schemas.openxmlformats.org/officeDocument/2006/relationships/image" Target="media/section_image13.png"/><Relationship Id="rId20" Type="http://schemas.openxmlformats.org/officeDocument/2006/relationships/image" Target="media/section_image14.png"/><Relationship Id="rId21" Type="http://schemas.openxmlformats.org/officeDocument/2006/relationships/image" Target="media/section_image15.png"/><Relationship Id="rId22" Type="http://schemas.openxmlformats.org/officeDocument/2006/relationships/image" Target="media/section_image16.png"/><Relationship Id="rId23" Type="http://schemas.openxmlformats.org/officeDocument/2006/relationships/image" Target="media/section_image17.png"/><Relationship Id="rId24" Type="http://schemas.openxmlformats.org/officeDocument/2006/relationships/image" Target="media/section_image18.png"/><Relationship Id="rId25" Type="http://schemas.openxmlformats.org/officeDocument/2006/relationships/image" Target="media/section_image19.png"/><Relationship Id="rId26" Type="http://schemas.openxmlformats.org/officeDocument/2006/relationships/image" Target="media/section_image20.png"/><Relationship Id="rId27" Type="http://schemas.openxmlformats.org/officeDocument/2006/relationships/image" Target="media/section_image21.png"/><Relationship Id="rId28" Type="http://schemas.openxmlformats.org/officeDocument/2006/relationships/image" Target="media/section_image22.png"/><Relationship Id="rId29" Type="http://schemas.openxmlformats.org/officeDocument/2006/relationships/image" Target="media/section_image23.png"/><Relationship Id="rId30" Type="http://schemas.openxmlformats.org/officeDocument/2006/relationships/image" Target="media/section_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2020-05-15T11:01:37+02:00</dcterms:created>
  <dcterms:modified xsi:type="dcterms:W3CDTF">2020-05-15T11:01:37+02:00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