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Averigua cuál es el dominio de definición de las siguientes funciones: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96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pict>
          <v:shape type="#_x0000_t75" style="width:11px; height:1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pict>
          <v:shape type="#_x0000_t75" style="width:92px; height:2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Observando su gráfica, indica cuál es el dominio de definición de estas funciones y su recorrido:</w:t>
      </w:r>
    </w:p>
    <w:p>
      <w:pPr>
        <w:spacing w:after="100" w:line="240" w:lineRule="auto"/>
      </w:pPr>
      <w:r>
        <w:rPr/>
        <w:t xml:space="preserve"> </w:t>
      </w:r>
    </w:p>
    <w:tbl>
      <w:tblGrid>
        <w:gridCol w:w="2760" w:type="dxa"/>
        <w:gridCol w:w="2490" w:type="dxa"/>
      </w:tblGrid>
      <w:tblPr>
        <w:jc w:val="center"/>
        <w:tblW w:w="5000" w:type="pct"/>
      </w:tblPr>
      <w:tr>
        <w:trPr/>
        <w:tc>
          <w:tcPr>
            <w:tcW w:w="2760" w:type="dxa"/>
          </w:tcPr>
          <w:p>
            <w:pPr>
              <w:spacing w:after="100"/>
            </w:pPr>
            <w:r>
              <w:rPr>
                <w:b/>
              </w:rPr>
              <w:t xml:space="preserve">a)</w: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rPr>
                <w:b/>
              </w:rPr>
              <w:t xml:space="preserve">b)</w:t>
            </w:r>
          </w:p>
        </w:tc>
      </w:tr>
      <w:tr>
        <w:trPr/>
        <w:tc>
          <w:tcPr>
            <w:tcW w:w="2760" w:type="dxa"/>
          </w:tcPr>
          <w:p>
            <w:pPr>
              <w:spacing w:after="100"/>
            </w:pPr>
            <w:r>
              <w:pict>
                <v:shape type="#_x0000_t75" style="width:124px; height:125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2490" w:type="dxa"/>
          </w:tcPr>
          <w:p>
            <w:pPr>
              <w:spacing w:after="100"/>
            </w:pPr>
            <w:r>
              <w:pict>
                <v:shape type="#_x0000_t75" style="width:158px; height:125px; margin-left:0px; margin-top:0px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Representa gráficamente la siguiente función: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160px; height:44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Sabiendo que la gráfica de </w:t>
      </w:r>
      <w:r>
        <w:rPr>
          <w:b/>
          <w:i/>
          <w:iCs/>
        </w:rPr>
        <w:t xml:space="preserve">y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</w:t>
      </w:r>
      <w:r>
        <w:rPr>
          <w:b/>
          <w:i/>
          <w:iCs/>
        </w:rPr>
        <w:t xml:space="preserve">f</w:t>
      </w:r>
      <w:r>
        <w:rPr>
          <w:b/>
        </w:rPr>
        <w:t xml:space="preserve">(</w:t>
      </w:r>
      <w:r>
        <w:rPr>
          <w:b/>
          <w:i/>
          <w:iCs/>
        </w:rPr>
        <w:t xml:space="preserve">x</w:t>
      </w:r>
      <w:r>
        <w:rPr>
          <w:b/>
        </w:rPr>
        <w:t xml:space="preserve">) es la de la izquierda, representa la gráfica de </w:t>
      </w:r>
    </w:p>
    <w:p>
      <w:pPr>
        <w:spacing w:after="100" w:line="240" w:lineRule="auto"/>
      </w:pPr>
      <w:r>
        <w:rPr>
          <w:b/>
        </w:rPr>
        <w:t xml:space="preserve">y </w:t>
      </w:r>
      <w:r>
        <w:rPr>
          <w:b/>
        </w:rPr>
        <w:t xml:space="preserve">=</w:t>
      </w:r>
      <w:r>
        <w:rPr>
          <w:b/>
        </w:rPr>
        <w:t xml:space="preserve"> |f(x)|</w:t>
      </w:r>
    </w:p>
    <w:p>
      <w:pPr>
        <w:spacing w:after="100" w:line="240" w:lineRule="auto"/>
      </w:pPr>
      <w:r>
        <w:rPr/>
        <w:t xml:space="preserve"> </w:t>
      </w:r>
    </w:p>
    <w:tbl>
      <w:tblGrid>
        <w:gridCol w:w="3645" w:type="dxa"/>
        <w:gridCol w:w="3645" w:type="dxa"/>
      </w:tblGrid>
      <w:tblPr>
        <w:jc w:val="center"/>
        <w:tblW w:w="5000" w:type="pct"/>
      </w:tblPr>
      <w:tr>
        <w:trPr/>
        <w:tc>
          <w:tcPr>
            <w:tcW w:w="3645" w:type="dxa"/>
          </w:tcPr>
          <w:p>
            <w:pPr>
              <w:spacing w:after="100"/>
            </w:pPr>
            <w:r>
              <w:pict>
                <v:shape type="#_x0000_t75" style="width:243px; height:245px; margin-left:0px; margin-top:0px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3645" w:type="dxa"/>
          </w:tcPr>
          <w:p>
            <w:pPr>
              <w:spacing w:after="100"/>
            </w:pPr>
            <w:r>
              <w:pict>
                <v:shape type="#_x0000_t75" style="width:243px; height:245px; margin-left:0px; margin-top:0px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</w:tr>
    </w:tbl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383px; height:36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80px; height:23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 w:line="240" w:lineRule="auto"/>
      </w:pPr>
      <w:r>
        <w:pict>
          <v:shape type="#_x0000_t75" style="width:83px; height:23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la función inversa de: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87px; height:36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Halla el dominio de definición de las siguientes funciones: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3px; height:41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205px; height:41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03px; height:37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513CFD6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2020-05-15T11:00:58+02:00</dcterms:created>
  <dcterms:modified xsi:type="dcterms:W3CDTF">2020-05-15T11:00:58+02:00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