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funciones siguientes: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4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9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7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5px; height: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Observando la gráfica de estas funciones, indica cuál es su dominio de definición y su recorrido: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{‒1}; Recorrido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‒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Dominio </w:t>
      </w:r>
      <w:r>
        <w:rPr/>
        <w:t xml:space="preserve">=</w:t>
      </w:r>
      <w:r>
        <w:rPr/>
        <w:t xml:space="preserve"> (0, </w:t>
      </w:r>
      <w:r>
        <w:rPr/>
        <w:t xml:space="preserve">+∞</w:t>
      </w:r>
      <w:r>
        <w:rPr/>
        <w:t xml:space="preserve">); Recorrido </w:t>
      </w:r>
      <w:r>
        <w:rPr/>
        <w:t xml:space="preserve">=</w:t>
      </w:r>
      <w:r>
        <w:rPr/>
        <w:t xml:space="preserve"> </w:t>
      </w:r>
      <w:r>
        <w:rPr/>
        <w:t xml:space="preserve">R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Dibuja la gráfica de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53px; height:7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Son dos trozos de recta.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gráfica 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1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La siguiente gráfica corresponde a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 Representa, a partir de ella,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│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)│: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3px; height:24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Considera las funciones </w:t>
      </w:r>
      <w:r>
        <w:rPr>
          <w:b/>
          <w:i/>
          <w:iCs/>
        </w:rPr>
        <w:t xml:space="preserve">f</w:t>
      </w:r>
      <w:r>
        <w:rPr>
          <w:b/>
        </w:rPr>
        <w:t xml:space="preserve"> y </w:t>
      </w:r>
      <w:r>
        <w:rPr>
          <w:b/>
          <w:i/>
          <w:iCs/>
        </w:rPr>
        <w:t xml:space="preserve">g</w:t>
      </w:r>
      <w:r>
        <w:rPr>
          <w:b/>
        </w:rPr>
        <w:t xml:space="preserve"> definidas por: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80px; height:3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7px; height:39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6px; height:43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Obtén la función inversa de: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88px; height:36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Cambiamos </w:t>
      </w:r>
      <w:r>
        <w:rPr>
          <w:i/>
          <w:iCs/>
        </w:rPr>
        <w:t xml:space="preserve">x</w:t>
      </w:r>
      <w:r>
        <w:rPr/>
        <w:t xml:space="preserve"> por </w:t>
      </w:r>
      <w:r>
        <w:rPr>
          <w:i/>
          <w:iCs/>
        </w:rPr>
        <w:t xml:space="preserve">y</w:t>
      </w:r>
      <w:r>
        <w:rPr/>
        <w:t xml:space="preserve"> y despejamos la </w:t>
      </w:r>
      <w:r>
        <w:rPr>
          <w:i/>
          <w:iCs/>
        </w:rPr>
        <w:t xml:space="preserve">y 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348px; height:36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92px; height:36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7px; height:37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6px; height:43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3px; height:60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4px; height:2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el denominador no se anule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≠</w:t>
      </w:r>
      <w:r>
        <w:rPr/>
        <w:t xml:space="preserve"> 0, pero 0 </w:t>
      </w:r>
      <w:r>
        <w:rPr/>
        <w:t xml:space="preserve">∉</w:t>
      </w:r>
      <w:r>
        <w:rPr/>
        <w:t xml:space="preserve"> </w:t>
      </w:r>
      <w:r>
        <w:rPr/>
        <w:t xml:space="preserve">[</w:t>
      </w:r>
      <w:r>
        <w:rPr/>
        <w:t xml:space="preserve">1,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) Por tanto. </w:t>
      </w:r>
      <w:r>
        <w:rPr>
          <w:i/>
          <w:iCs/>
        </w:rPr>
        <w:t xml:space="preserve">Dom f</w:t>
      </w:r>
      <w:r>
        <w:rPr/>
        <w:t xml:space="preserve"> </w:t>
      </w:r>
      <w:r>
        <w:rPr/>
        <w:t xml:space="preserve">[</w:t>
      </w:r>
      <w:r>
        <w:rPr/>
        <w:t xml:space="preserve">1,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Las funciones </w:t>
      </w:r>
      <w:r>
        <w:rPr>
          <w:i/>
          <w:iCs/>
        </w:rPr>
        <w:t xml:space="preserve">sen x </w:t>
      </w:r>
      <w:r>
        <w:rPr/>
        <w:t xml:space="preserve">y </w:t>
      </w:r>
      <w:r>
        <w:rPr>
          <w:i/>
          <w:iCs/>
        </w:rPr>
        <w:t xml:space="preserve">e</w:t>
      </w:r>
      <w:r>
        <w:rPr>
          <w:i/>
          <w:iCs/>
          <w:vertAlign w:val="superscript"/>
        </w:rPr>
        <w:t xml:space="preserve">x</w:t>
      </w:r>
      <w:r>
        <w:rPr/>
        <w:t xml:space="preserve"> están definidas en </w:t>
      </w:r>
      <w:r>
        <w:rPr/>
        <w:t xml:space="preserve">ℝ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 denominador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1 se anula para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Dom g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ℝ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{</w:t>
      </w:r>
      <w:r>
        <w:rPr/>
        <w:t xml:space="preserve">1</w:t>
      </w:r>
      <w:r>
        <w:rPr/>
        <w:t xml:space="preserve">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c) Resolvemos la ecuación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3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7px; height:36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8px; height:36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3px; height:24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Dom h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</w:t>
      </w:r>
      <w:r>
        <w:rPr/>
        <w:t xml:space="preserve"> </w:t>
      </w:r>
      <w:r>
        <w:rPr/>
        <w:t xml:space="preserve">∞</w:t>
      </w:r>
      <w:r>
        <w:rPr/>
        <w:t xml:space="preserve">, </w:t>
      </w:r>
      <w:r>
        <w:rPr/>
        <w:t xml:space="preserve">−</w:t>
      </w:r>
      <w:r>
        <w:rPr/>
        <w:t xml:space="preserve">3) </w:t>
      </w:r>
      <w:r>
        <w:rPr/>
        <w:t xml:space="preserve">∪</w:t>
      </w:r>
      <w:r>
        <w:rPr/>
        <w:t xml:space="preserve"> </w:t>
      </w:r>
      <w:r>
        <w:rPr/>
        <w:t xml:space="preserve">(−</w:t>
      </w:r>
      <w:r>
        <w:rPr/>
        <w:t xml:space="preserve">3,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) </w:t>
      </w:r>
      <w:r>
        <w:rPr/>
        <w:t xml:space="preserve">=</w:t>
      </w:r>
      <w:r>
        <w:rPr/>
        <w:t xml:space="preserve"> </w:t>
      </w:r>
      <w:r>
        <w:rPr/>
        <w:t xml:space="preserve">ℝ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{−</w:t>
      </w:r>
      <w:r>
        <w:rPr/>
        <w:t xml:space="preserve">3</w:t>
      </w:r>
      <w:r>
        <w:rPr/>
        <w:t xml:space="preserve">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7F1391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2020-05-15T11:03:24+02:00</dcterms:created>
  <dcterms:modified xsi:type="dcterms:W3CDTF">2020-05-15T11:03:24+02:00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