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que: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3px; height: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Simplifica la siguiente ecuación</w:t>
      </w:r>
      <w:r>
        <w:rPr>
          <w:b/>
        </w:rPr>
        <w:t xml:space="preserve">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23px; height: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5px; height: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Simplifica la siguiente expresión: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51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siendo </w:t>
      </w:r>
      <w:r>
        <w:rPr>
          <w:b/>
        </w:rPr>
        <w:t xml:space="preserve">α</w:t>
      </w:r>
      <w:r>
        <w:rPr>
          <w:b/>
        </w:rPr>
        <w:t xml:space="preserve"> un ángulo del segundo cuadrante. ¿Qué signo tiene la expresión?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60</w:t>
      </w:r>
      <w:r>
        <w:rPr>
          <w:b/>
        </w:rPr>
        <w:t xml:space="preserve">°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1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30</w:t>
      </w:r>
      <w:r>
        <w:rPr>
          <w:b/>
        </w:rPr>
        <w:t xml:space="preserve">°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 dando las soluciones correspondientes al primer cuadrante: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7px; height:4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DA0E1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2020-05-12T11:35:24+02:00</dcterms:created>
  <dcterms:modified xsi:type="dcterms:W3CDTF">2020-05-12T11:35:24+02:00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